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2561" w:rsidRDefault="00534901" w:rsidP="006E2561">
      <w:pPr>
        <w:rPr>
          <w:b/>
          <w:sz w:val="36"/>
          <w:szCs w:val="36"/>
        </w:rPr>
      </w:pPr>
      <w:r>
        <w:rPr>
          <w:rFonts w:ascii="Calisto MT" w:hAnsi="Calisto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19682">
                <wp:simplePos x="0" y="0"/>
                <wp:positionH relativeFrom="column">
                  <wp:posOffset>1842135</wp:posOffset>
                </wp:positionH>
                <wp:positionV relativeFrom="paragraph">
                  <wp:posOffset>116840</wp:posOffset>
                </wp:positionV>
                <wp:extent cx="4257675" cy="886460"/>
                <wp:effectExtent l="0" t="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ED" w:rsidRPr="004C2EED" w:rsidRDefault="004C2EED" w:rsidP="004C2EED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2EED" w:rsidRPr="004C2EED" w:rsidRDefault="004C2EED" w:rsidP="004C2EED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4C2EED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Asheville, North Carolina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, U.S.A.</w:t>
                            </w:r>
                          </w:p>
                          <w:p w:rsidR="004C2EED" w:rsidRDefault="004C2EED" w:rsidP="004C2EED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4C2EED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June 8 – 10, 2017</w:t>
                            </w:r>
                          </w:p>
                          <w:p w:rsidR="004C2EED" w:rsidRPr="004C2EED" w:rsidRDefault="00D76D44" w:rsidP="00D76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6D44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https://fbf.unca.edu/ferc-2017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19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9.2pt;width:335.25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">
                <v:textbox>
                  <w:txbxContent>
                    <w:p w:rsidR="004C2EED" w:rsidRPr="004C2EED" w:rsidRDefault="004C2EED" w:rsidP="004C2EED">
                      <w:pPr>
                        <w:jc w:val="center"/>
                        <w:rPr>
                          <w:rFonts w:ascii="Calisto MT" w:hAnsi="Calisto MT"/>
                          <w:b/>
                          <w:sz w:val="16"/>
                          <w:szCs w:val="16"/>
                        </w:rPr>
                      </w:pPr>
                    </w:p>
                    <w:p w:rsidR="004C2EED" w:rsidRPr="004C2EED" w:rsidRDefault="004C2EED" w:rsidP="004C2EED">
                      <w:pPr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4C2EED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Asheville, North Carolina</w:t>
                      </w: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, U.S.A.</w:t>
                      </w:r>
                    </w:p>
                    <w:p w:rsidR="004C2EED" w:rsidRDefault="004C2EED" w:rsidP="004C2EED">
                      <w:pPr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4C2EED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June 8 – 10, 2017</w:t>
                      </w:r>
                    </w:p>
                    <w:p w:rsidR="004C2EED" w:rsidRPr="004C2EED" w:rsidRDefault="00D76D44" w:rsidP="00D76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6D44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https://fbf.unca.edu/ferc-2017</w:t>
                      </w:r>
                    </w:p>
                  </w:txbxContent>
                </v:textbox>
              </v:shape>
            </w:pict>
          </mc:Fallback>
        </mc:AlternateContent>
      </w:r>
      <w:r w:rsidR="00BA0B5E">
        <w:rPr>
          <w:b/>
          <w:noProof/>
          <w:sz w:val="44"/>
          <w:szCs w:val="44"/>
        </w:rPr>
        <w:drawing>
          <wp:inline distT="0" distB="0" distL="0" distR="0">
            <wp:extent cx="1492250" cy="117125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43" cy="11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3F" w:rsidRPr="006E2561" w:rsidRDefault="00DC11D5" w:rsidP="006E2561">
      <w:pPr>
        <w:jc w:val="center"/>
        <w:rPr>
          <w:b/>
          <w:sz w:val="32"/>
          <w:szCs w:val="32"/>
        </w:rPr>
      </w:pPr>
      <w:r w:rsidRPr="006E2561">
        <w:rPr>
          <w:b/>
          <w:sz w:val="32"/>
          <w:szCs w:val="32"/>
        </w:rPr>
        <w:t>Call for Papers</w:t>
      </w:r>
    </w:p>
    <w:p w:rsidR="00EB527B" w:rsidRDefault="00EB527B" w:rsidP="004F1761">
      <w:pPr>
        <w:rPr>
          <w:rFonts w:ascii="Calisto MT" w:hAnsi="Calisto MT"/>
        </w:rPr>
      </w:pPr>
    </w:p>
    <w:p w:rsidR="000D26F3" w:rsidRDefault="004F1761" w:rsidP="000D26F3">
      <w:r w:rsidRPr="004C2EED">
        <w:t xml:space="preserve">The Family Enterprise Research Conference (FERC) is dedicated to developing a community of scholars interested in conducting research into understanding family firms and creating usable knowledge in this field. </w:t>
      </w:r>
    </w:p>
    <w:p w:rsidR="004F1761" w:rsidRPr="004C2EED" w:rsidRDefault="004F1761" w:rsidP="000D26F3">
      <w:r w:rsidRPr="004C2EED">
        <w:t xml:space="preserve"> </w:t>
      </w:r>
    </w:p>
    <w:p w:rsidR="000D26F3" w:rsidRDefault="004F1761" w:rsidP="000D26F3">
      <w:r w:rsidRPr="004C2EED">
        <w:t xml:space="preserve">Family enterprise research as a discipline was created from connections between practice and scholarship.  Likewise, the body of knowledge in the field </w:t>
      </w:r>
      <w:r w:rsidR="008E5EBD" w:rsidRPr="004C2EED">
        <w:t>continues to grow as applications</w:t>
      </w:r>
      <w:r w:rsidRPr="004C2EED">
        <w:t xml:space="preserve"> are forged with other academic disciplines and as gaps in the literature are addressed.    </w:t>
      </w:r>
    </w:p>
    <w:p w:rsidR="004F1761" w:rsidRPr="004C2EED" w:rsidRDefault="004F1761" w:rsidP="000D26F3">
      <w:r w:rsidRPr="004C2EED">
        <w:t xml:space="preserve"> </w:t>
      </w:r>
    </w:p>
    <w:p w:rsidR="004F1761" w:rsidRPr="004C2EED" w:rsidRDefault="004F1761" w:rsidP="002A2A41">
      <w:r w:rsidRPr="000D26F3">
        <w:rPr>
          <w:i/>
        </w:rPr>
        <w:t>Bridging the Gap</w:t>
      </w:r>
      <w:r w:rsidRPr="004C2EED">
        <w:t xml:space="preserve"> is the FERC 20</w:t>
      </w:r>
      <w:r w:rsidR="00BA0B5E" w:rsidRPr="004C2EED">
        <w:t xml:space="preserve">17 theme.  The </w:t>
      </w:r>
      <w:r w:rsidRPr="004C2EED">
        <w:t>theme invites exploration in mult</w:t>
      </w:r>
      <w:r w:rsidR="000D26F3">
        <w:t>iple areas in research:</w:t>
      </w:r>
    </w:p>
    <w:p w:rsidR="004F1761" w:rsidRPr="004C2EED" w:rsidRDefault="004F1761" w:rsidP="002A2A41">
      <w:pPr>
        <w:pStyle w:val="ListParagraph"/>
        <w:numPr>
          <w:ilvl w:val="0"/>
          <w:numId w:val="13"/>
        </w:numPr>
      </w:pPr>
      <w:r w:rsidRPr="000D26F3">
        <w:rPr>
          <w:i/>
        </w:rPr>
        <w:t>Bridging the Gap</w:t>
      </w:r>
      <w:r w:rsidRPr="004C2EED">
        <w:t xml:space="preserve"> between generations in a family business;</w:t>
      </w:r>
    </w:p>
    <w:p w:rsidR="004F1761" w:rsidRPr="004C2EED" w:rsidRDefault="004F1761" w:rsidP="002A2A41">
      <w:pPr>
        <w:pStyle w:val="ListParagraph"/>
        <w:numPr>
          <w:ilvl w:val="0"/>
          <w:numId w:val="13"/>
        </w:numPr>
      </w:pPr>
      <w:r w:rsidRPr="000D26F3">
        <w:rPr>
          <w:i/>
        </w:rPr>
        <w:t>Bridging the Gap</w:t>
      </w:r>
      <w:r w:rsidRPr="004C2EED">
        <w:t xml:space="preserve"> between research and practice;</w:t>
      </w:r>
    </w:p>
    <w:p w:rsidR="004F1761" w:rsidRPr="004C2EED" w:rsidRDefault="004F1761" w:rsidP="002A2A41">
      <w:pPr>
        <w:pStyle w:val="ListParagraph"/>
        <w:numPr>
          <w:ilvl w:val="0"/>
          <w:numId w:val="13"/>
        </w:numPr>
      </w:pPr>
      <w:r w:rsidRPr="000D26F3">
        <w:rPr>
          <w:i/>
        </w:rPr>
        <w:t>Bridging the Gap</w:t>
      </w:r>
      <w:r w:rsidRPr="004C2EED">
        <w:t xml:space="preserve"> across academic disciplines;</w:t>
      </w:r>
    </w:p>
    <w:p w:rsidR="004F1761" w:rsidRPr="004C2EED" w:rsidRDefault="004F1761" w:rsidP="002A2A41">
      <w:pPr>
        <w:pStyle w:val="ListParagraph"/>
        <w:numPr>
          <w:ilvl w:val="0"/>
          <w:numId w:val="13"/>
        </w:numPr>
      </w:pPr>
      <w:r w:rsidRPr="000D26F3">
        <w:rPr>
          <w:i/>
        </w:rPr>
        <w:t>Bridging the Gap</w:t>
      </w:r>
      <w:r w:rsidRPr="004C2EED">
        <w:t xml:space="preserve"> in knowledge in the field.</w:t>
      </w:r>
    </w:p>
    <w:p w:rsidR="00B1746A" w:rsidRPr="004C2EED" w:rsidRDefault="004F1761" w:rsidP="002A2A41">
      <w:r w:rsidRPr="004C2EED">
        <w:t>We extend an invitation for FERC 2017 participan</w:t>
      </w:r>
      <w:r w:rsidR="000D26F3">
        <w:t xml:space="preserve">ts to examine </w:t>
      </w:r>
      <w:r w:rsidR="000D26F3" w:rsidRPr="000D26F3">
        <w:rPr>
          <w:i/>
        </w:rPr>
        <w:t>Bridging the Gap</w:t>
      </w:r>
      <w:r w:rsidRPr="004C2EED">
        <w:t xml:space="preserve"> in the areas that will have impact on the success of family enterprises.</w:t>
      </w:r>
      <w:r w:rsidR="00E67172" w:rsidRPr="004C2EED">
        <w:t xml:space="preserve">  We also invite submissions of other research related to family enterprise.</w:t>
      </w:r>
    </w:p>
    <w:p w:rsidR="00E67172" w:rsidRPr="004C2EED" w:rsidRDefault="00E67172" w:rsidP="004F1761"/>
    <w:p w:rsidR="00E67172" w:rsidRPr="004C2EED" w:rsidRDefault="00E67172" w:rsidP="004F1761">
      <w:pPr>
        <w:rPr>
          <w:b/>
          <w:sz w:val="28"/>
          <w:szCs w:val="28"/>
        </w:rPr>
      </w:pPr>
      <w:r w:rsidRPr="004C2EED">
        <w:rPr>
          <w:b/>
          <w:sz w:val="28"/>
          <w:szCs w:val="28"/>
        </w:rPr>
        <w:t>Submission Guidelines</w:t>
      </w:r>
    </w:p>
    <w:p w:rsidR="00E67172" w:rsidRPr="000D26F3" w:rsidRDefault="00E67172" w:rsidP="004F1761">
      <w:pPr>
        <w:rPr>
          <w:sz w:val="22"/>
          <w:szCs w:val="22"/>
        </w:rPr>
      </w:pPr>
      <w:r w:rsidRPr="000D26F3">
        <w:rPr>
          <w:sz w:val="22"/>
          <w:szCs w:val="22"/>
        </w:rPr>
        <w:t>The format for the submissions should be:</w:t>
      </w:r>
    </w:p>
    <w:p w:rsidR="00E67172" w:rsidRPr="000D26F3" w:rsidRDefault="00E67172" w:rsidP="002A2A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26F3">
        <w:rPr>
          <w:sz w:val="22"/>
          <w:szCs w:val="22"/>
        </w:rPr>
        <w:t>extended abstracts of no more than 5-pages (</w:t>
      </w:r>
      <w:r w:rsidR="00EB527B" w:rsidRPr="000D26F3">
        <w:rPr>
          <w:sz w:val="22"/>
          <w:szCs w:val="22"/>
        </w:rPr>
        <w:t>in</w:t>
      </w:r>
      <w:r w:rsidRPr="000D26F3">
        <w:rPr>
          <w:sz w:val="22"/>
          <w:szCs w:val="22"/>
        </w:rPr>
        <w:t>clusive of references and tables);</w:t>
      </w:r>
    </w:p>
    <w:p w:rsidR="00E67172" w:rsidRPr="000D26F3" w:rsidRDefault="00E67172" w:rsidP="002A2A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26F3">
        <w:rPr>
          <w:sz w:val="22"/>
          <w:szCs w:val="22"/>
        </w:rPr>
        <w:t>Microsoft Word Document</w:t>
      </w:r>
      <w:r w:rsidR="00EB527B" w:rsidRPr="000D26F3">
        <w:rPr>
          <w:sz w:val="22"/>
          <w:szCs w:val="22"/>
        </w:rPr>
        <w:t xml:space="preserve"> (.doc or .</w:t>
      </w:r>
      <w:proofErr w:type="spellStart"/>
      <w:r w:rsidR="00EB527B" w:rsidRPr="000D26F3">
        <w:rPr>
          <w:sz w:val="22"/>
          <w:szCs w:val="22"/>
        </w:rPr>
        <w:t>docx</w:t>
      </w:r>
      <w:proofErr w:type="spellEnd"/>
      <w:r w:rsidR="00EB527B" w:rsidRPr="000D26F3">
        <w:rPr>
          <w:sz w:val="22"/>
          <w:szCs w:val="22"/>
        </w:rPr>
        <w:t>)</w:t>
      </w:r>
      <w:r w:rsidRPr="000D26F3">
        <w:rPr>
          <w:sz w:val="22"/>
          <w:szCs w:val="22"/>
        </w:rPr>
        <w:t>;</w:t>
      </w:r>
    </w:p>
    <w:p w:rsidR="00E67172" w:rsidRPr="000D26F3" w:rsidRDefault="00E67172" w:rsidP="002A2A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26F3">
        <w:rPr>
          <w:sz w:val="22"/>
          <w:szCs w:val="22"/>
        </w:rPr>
        <w:t>Double-spaced, one-inch margins, 12-point Times Roman font;</w:t>
      </w:r>
    </w:p>
    <w:p w:rsidR="00E67172" w:rsidRPr="000D26F3" w:rsidRDefault="00E67172" w:rsidP="002A2A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26F3">
        <w:rPr>
          <w:sz w:val="22"/>
          <w:szCs w:val="22"/>
        </w:rPr>
        <w:t>APA 6</w:t>
      </w:r>
      <w:r w:rsidRPr="000D26F3">
        <w:rPr>
          <w:sz w:val="22"/>
          <w:szCs w:val="22"/>
          <w:vertAlign w:val="superscript"/>
        </w:rPr>
        <w:t>th</w:t>
      </w:r>
      <w:r w:rsidRPr="000D26F3">
        <w:rPr>
          <w:sz w:val="22"/>
          <w:szCs w:val="22"/>
        </w:rPr>
        <w:t xml:space="preserve"> edition style for references;</w:t>
      </w:r>
      <w:r w:rsidR="00EB527B" w:rsidRPr="000D26F3">
        <w:rPr>
          <w:sz w:val="22"/>
          <w:szCs w:val="22"/>
        </w:rPr>
        <w:t xml:space="preserve"> and</w:t>
      </w:r>
    </w:p>
    <w:p w:rsidR="00E67172" w:rsidRPr="000D26F3" w:rsidRDefault="00E67172" w:rsidP="002A2A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26F3">
        <w:rPr>
          <w:sz w:val="22"/>
          <w:szCs w:val="22"/>
        </w:rPr>
        <w:t xml:space="preserve">Submitted in English </w:t>
      </w:r>
      <w:r w:rsidR="00EB527B" w:rsidRPr="000D26F3">
        <w:rPr>
          <w:sz w:val="22"/>
          <w:szCs w:val="22"/>
        </w:rPr>
        <w:t>or Spanish</w:t>
      </w:r>
    </w:p>
    <w:p w:rsidR="00CA0C43" w:rsidRPr="000D26F3" w:rsidRDefault="00CA0C43" w:rsidP="00CA0C43">
      <w:pPr>
        <w:rPr>
          <w:sz w:val="22"/>
          <w:szCs w:val="22"/>
        </w:rPr>
      </w:pPr>
      <w:r w:rsidRPr="000D26F3">
        <w:rPr>
          <w:sz w:val="22"/>
          <w:szCs w:val="22"/>
        </w:rPr>
        <w:t>The abstract should address the following questions:</w:t>
      </w:r>
    </w:p>
    <w:p w:rsidR="00CA0C43" w:rsidRPr="000D26F3" w:rsidRDefault="00CA0C43" w:rsidP="004C2EE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D26F3">
        <w:rPr>
          <w:sz w:val="22"/>
          <w:szCs w:val="22"/>
        </w:rPr>
        <w:t>What is the purpose of this project?</w:t>
      </w:r>
    </w:p>
    <w:p w:rsidR="00CA0C43" w:rsidRPr="000D26F3" w:rsidRDefault="00CA0C43" w:rsidP="004C2EE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D26F3">
        <w:rPr>
          <w:sz w:val="22"/>
          <w:szCs w:val="22"/>
        </w:rPr>
        <w:t>What is the gap in the literature that this project is hoping to address?</w:t>
      </w:r>
    </w:p>
    <w:p w:rsidR="00CA0C43" w:rsidRPr="000D26F3" w:rsidRDefault="00CA0C43" w:rsidP="004C2EE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D26F3">
        <w:rPr>
          <w:sz w:val="22"/>
          <w:szCs w:val="22"/>
        </w:rPr>
        <w:t>Why is addressing this gap important?</w:t>
      </w:r>
    </w:p>
    <w:p w:rsidR="00CA0C43" w:rsidRPr="000D26F3" w:rsidRDefault="00CA0C43" w:rsidP="004C2EE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D26F3">
        <w:rPr>
          <w:sz w:val="22"/>
          <w:szCs w:val="22"/>
        </w:rPr>
        <w:t>How does the project address the gap in the literature?</w:t>
      </w:r>
    </w:p>
    <w:p w:rsidR="00CA0C43" w:rsidRPr="000D26F3" w:rsidRDefault="00CA0C43" w:rsidP="004C2EE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D26F3">
        <w:rPr>
          <w:sz w:val="22"/>
          <w:szCs w:val="22"/>
        </w:rPr>
        <w:t>What are the implications of this project for research and for practice?</w:t>
      </w:r>
    </w:p>
    <w:p w:rsidR="00CA0C43" w:rsidRPr="000D26F3" w:rsidRDefault="00CA0C43" w:rsidP="004C2EE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D26F3">
        <w:rPr>
          <w:sz w:val="22"/>
          <w:szCs w:val="22"/>
        </w:rPr>
        <w:t>What is the methodology used in this research project?</w:t>
      </w:r>
    </w:p>
    <w:p w:rsidR="00CA0C43" w:rsidRPr="000D26F3" w:rsidRDefault="00CA0C43" w:rsidP="004C2EE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D26F3">
        <w:rPr>
          <w:sz w:val="22"/>
          <w:szCs w:val="22"/>
        </w:rPr>
        <w:t>What are some of the results?</w:t>
      </w:r>
    </w:p>
    <w:p w:rsidR="000D26F3" w:rsidRPr="004C2EED" w:rsidRDefault="000D26F3" w:rsidP="000D26F3">
      <w:pPr>
        <w:pStyle w:val="ListParagraph"/>
      </w:pPr>
    </w:p>
    <w:p w:rsidR="000D26F3" w:rsidRDefault="00CA0C43" w:rsidP="00CA0C43">
      <w:pPr>
        <w:rPr>
          <w:b/>
          <w:sz w:val="28"/>
          <w:szCs w:val="28"/>
        </w:rPr>
      </w:pPr>
      <w:r w:rsidRPr="000D26F3">
        <w:rPr>
          <w:sz w:val="22"/>
          <w:szCs w:val="22"/>
        </w:rPr>
        <w:t xml:space="preserve">Manuscripts should be submitted </w:t>
      </w:r>
      <w:r w:rsidR="006E2561" w:rsidRPr="00F31750">
        <w:rPr>
          <w:sz w:val="22"/>
          <w:szCs w:val="22"/>
        </w:rPr>
        <w:t xml:space="preserve">online </w:t>
      </w:r>
      <w:r w:rsidRPr="00F31750">
        <w:rPr>
          <w:sz w:val="22"/>
          <w:szCs w:val="22"/>
        </w:rPr>
        <w:t xml:space="preserve">between </w:t>
      </w:r>
      <w:r w:rsidR="00EB527B" w:rsidRPr="00F31750">
        <w:rPr>
          <w:sz w:val="22"/>
          <w:szCs w:val="22"/>
        </w:rPr>
        <w:t xml:space="preserve">December 1, 2016 and February 4, 2017 by following the link on the FERC 2017 website </w:t>
      </w:r>
      <w:r w:rsidRPr="00F31750">
        <w:rPr>
          <w:sz w:val="22"/>
          <w:szCs w:val="22"/>
        </w:rPr>
        <w:t>at</w:t>
      </w:r>
      <w:r w:rsidR="00D76D44" w:rsidRPr="00F31750">
        <w:rPr>
          <w:sz w:val="22"/>
          <w:szCs w:val="22"/>
        </w:rPr>
        <w:t xml:space="preserve"> </w:t>
      </w:r>
      <w:hyperlink r:id="rId6" w:history="1">
        <w:r w:rsidR="00F31750" w:rsidRPr="00F31750">
          <w:rPr>
            <w:rStyle w:val="Hyperlink"/>
            <w:sz w:val="22"/>
            <w:szCs w:val="22"/>
          </w:rPr>
          <w:t>https://fbf.unca.edu/ferc-2017</w:t>
        </w:r>
      </w:hyperlink>
      <w:r w:rsidR="00D76D44" w:rsidRPr="00F31750">
        <w:rPr>
          <w:sz w:val="22"/>
          <w:szCs w:val="22"/>
        </w:rPr>
        <w:t>.</w:t>
      </w:r>
      <w:r w:rsidR="00F31750" w:rsidRPr="00F31750">
        <w:rPr>
          <w:sz w:val="22"/>
          <w:szCs w:val="22"/>
        </w:rPr>
        <w:t xml:space="preserve">   </w:t>
      </w:r>
      <w:r w:rsidR="00F31750">
        <w:rPr>
          <w:sz w:val="22"/>
          <w:szCs w:val="22"/>
        </w:rPr>
        <w:t xml:space="preserve">Questions regarding </w:t>
      </w:r>
      <w:r w:rsidR="0072377B">
        <w:rPr>
          <w:sz w:val="22"/>
          <w:szCs w:val="22"/>
        </w:rPr>
        <w:t xml:space="preserve">academic submissions should be directed to </w:t>
      </w:r>
      <w:r w:rsidR="00F31750" w:rsidRPr="00F31750">
        <w:rPr>
          <w:rFonts w:cs="Arial"/>
          <w:color w:val="222222"/>
          <w:sz w:val="22"/>
          <w:szCs w:val="22"/>
          <w:shd w:val="clear" w:color="auto" w:fill="FFFFFF"/>
        </w:rPr>
        <w:t>Professor</w:t>
      </w:r>
      <w:r w:rsidR="00F31750" w:rsidRPr="00F31750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> </w:t>
      </w:r>
      <w:r w:rsidR="00F31750" w:rsidRPr="00F31750">
        <w:rPr>
          <w:rStyle w:val="il"/>
          <w:rFonts w:cs="Arial"/>
          <w:color w:val="222222"/>
          <w:sz w:val="22"/>
          <w:szCs w:val="22"/>
          <w:shd w:val="clear" w:color="auto" w:fill="FFFFFF"/>
        </w:rPr>
        <w:t>Dianne</w:t>
      </w:r>
      <w:r w:rsidR="00F31750" w:rsidRPr="00F31750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> </w:t>
      </w:r>
      <w:r w:rsidR="00F31750" w:rsidRPr="00F31750">
        <w:rPr>
          <w:rFonts w:cs="Arial"/>
          <w:color w:val="222222"/>
          <w:sz w:val="22"/>
          <w:szCs w:val="22"/>
          <w:shd w:val="clear" w:color="auto" w:fill="FFFFFF"/>
        </w:rPr>
        <w:t xml:space="preserve">Welsh, </w:t>
      </w:r>
      <w:proofErr w:type="gramStart"/>
      <w:r w:rsidR="00F31750" w:rsidRPr="00F31750">
        <w:rPr>
          <w:rFonts w:cs="Arial"/>
          <w:color w:val="222222"/>
          <w:sz w:val="22"/>
          <w:szCs w:val="22"/>
          <w:shd w:val="clear" w:color="auto" w:fill="FFFFFF"/>
        </w:rPr>
        <w:t xml:space="preserve">Academic </w:t>
      </w:r>
      <w:r w:rsidR="0072377B">
        <w:rPr>
          <w:rFonts w:cs="Arial"/>
          <w:color w:val="222222"/>
          <w:sz w:val="22"/>
          <w:szCs w:val="22"/>
          <w:shd w:val="clear" w:color="auto" w:fill="FFFFFF"/>
        </w:rPr>
        <w:t xml:space="preserve"> C</w:t>
      </w:r>
      <w:r w:rsidR="00F31750" w:rsidRPr="00F31750">
        <w:rPr>
          <w:rFonts w:cs="Arial"/>
          <w:color w:val="222222"/>
          <w:sz w:val="22"/>
          <w:szCs w:val="22"/>
          <w:shd w:val="clear" w:color="auto" w:fill="FFFFFF"/>
        </w:rPr>
        <w:t>hair</w:t>
      </w:r>
      <w:proofErr w:type="gramEnd"/>
      <w:r w:rsidR="0072377B">
        <w:rPr>
          <w:rFonts w:cs="Arial"/>
          <w:color w:val="222222"/>
          <w:sz w:val="22"/>
          <w:szCs w:val="22"/>
          <w:shd w:val="clear" w:color="auto" w:fill="FFFFFF"/>
        </w:rPr>
        <w:t xml:space="preserve">, </w:t>
      </w:r>
      <w:r w:rsidR="00F31750" w:rsidRPr="00F31750">
        <w:rPr>
          <w:rFonts w:cs="Arial"/>
          <w:color w:val="222222"/>
          <w:sz w:val="22"/>
          <w:szCs w:val="22"/>
          <w:shd w:val="clear" w:color="auto" w:fill="FFFFFF"/>
        </w:rPr>
        <w:t>at</w:t>
      </w:r>
      <w:r w:rsidR="0072377B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hyperlink r:id="rId7" w:tgtFrame="_blank" w:history="1">
        <w:r w:rsidR="00F31750" w:rsidRPr="00F31750">
          <w:rPr>
            <w:rStyle w:val="Hyperlink"/>
            <w:rFonts w:cs="Arial"/>
            <w:color w:val="1155CC"/>
            <w:sz w:val="22"/>
            <w:szCs w:val="22"/>
            <w:shd w:val="clear" w:color="auto" w:fill="FFFFFF"/>
          </w:rPr>
          <w:t>dhwelsh@uncg.edu</w:t>
        </w:r>
      </w:hyperlink>
      <w:r w:rsidR="00F31750" w:rsidRPr="00F31750">
        <w:rPr>
          <w:rFonts w:cs="Arial"/>
          <w:color w:val="222222"/>
          <w:sz w:val="22"/>
          <w:szCs w:val="22"/>
          <w:shd w:val="clear" w:color="auto" w:fill="FFFFFF"/>
        </w:rPr>
        <w:t>,</w:t>
      </w:r>
      <w:r w:rsidR="0072377B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F31750" w:rsidRPr="00F31750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="00F31750" w:rsidRPr="00F31750">
          <w:rPr>
            <w:rStyle w:val="Hyperlink"/>
            <w:rFonts w:cs="Arial"/>
            <w:color w:val="1155CC"/>
            <w:sz w:val="22"/>
            <w:szCs w:val="22"/>
            <w:shd w:val="clear" w:color="auto" w:fill="FFFFFF"/>
          </w:rPr>
          <w:t>336-256-8507</w:t>
        </w:r>
      </w:hyperlink>
      <w:r w:rsidR="0072377B">
        <w:rPr>
          <w:rStyle w:val="apple-converted-space"/>
          <w:rFonts w:cs="Arial"/>
          <w:color w:val="222222"/>
          <w:sz w:val="22"/>
          <w:szCs w:val="22"/>
          <w:shd w:val="clear" w:color="auto" w:fill="FFFFFF"/>
        </w:rPr>
        <w:t>.</w:t>
      </w:r>
      <w:r w:rsidR="0072377B">
        <w:rPr>
          <w:b/>
          <w:sz w:val="28"/>
          <w:szCs w:val="28"/>
        </w:rPr>
        <w:t xml:space="preserve"> </w:t>
      </w:r>
    </w:p>
    <w:p w:rsidR="0072377B" w:rsidRDefault="0072377B" w:rsidP="00CA0C43">
      <w:pPr>
        <w:rPr>
          <w:b/>
          <w:sz w:val="28"/>
          <w:szCs w:val="28"/>
        </w:rPr>
      </w:pPr>
    </w:p>
    <w:p w:rsidR="00CA0C43" w:rsidRPr="006E2561" w:rsidRDefault="00CA0C43" w:rsidP="00CA0C43">
      <w:pPr>
        <w:rPr>
          <w:b/>
          <w:sz w:val="28"/>
          <w:szCs w:val="28"/>
        </w:rPr>
      </w:pPr>
      <w:r w:rsidRPr="006E2561">
        <w:rPr>
          <w:b/>
          <w:sz w:val="28"/>
          <w:szCs w:val="28"/>
        </w:rPr>
        <w:t>Decision Process</w:t>
      </w:r>
    </w:p>
    <w:p w:rsidR="000D26F3" w:rsidRDefault="000D26F3" w:rsidP="00CA0C43">
      <w:pPr>
        <w:pStyle w:val="ListParagraph"/>
        <w:numPr>
          <w:ilvl w:val="0"/>
          <w:numId w:val="6"/>
        </w:numPr>
        <w:sectPr w:rsidR="000D26F3" w:rsidSect="002A2A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0C43" w:rsidRPr="000D26F3" w:rsidRDefault="00CA0C43" w:rsidP="00CA0C4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26F3">
        <w:rPr>
          <w:sz w:val="22"/>
          <w:szCs w:val="22"/>
        </w:rPr>
        <w:t>All submissions will go through double-blind review.</w:t>
      </w:r>
    </w:p>
    <w:p w:rsidR="00CA0C43" w:rsidRPr="000D26F3" w:rsidRDefault="00CA0C43" w:rsidP="00CA0C4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26F3">
        <w:rPr>
          <w:sz w:val="22"/>
          <w:szCs w:val="22"/>
        </w:rPr>
        <w:t>Decisions will be guided by reviewers’ ratings and comments.</w:t>
      </w:r>
    </w:p>
    <w:p w:rsidR="00CA0C43" w:rsidRPr="000D26F3" w:rsidRDefault="00CA0C43" w:rsidP="00CA0C4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26F3">
        <w:rPr>
          <w:sz w:val="22"/>
          <w:szCs w:val="22"/>
        </w:rPr>
        <w:t>Reviewer comments will be shared with authors.</w:t>
      </w:r>
    </w:p>
    <w:p w:rsidR="00CA0C43" w:rsidRPr="000D26F3" w:rsidRDefault="00CA0C43" w:rsidP="00CA0C4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26F3">
        <w:rPr>
          <w:sz w:val="22"/>
          <w:szCs w:val="22"/>
        </w:rPr>
        <w:t xml:space="preserve">The decision of the </w:t>
      </w:r>
      <w:r w:rsidR="007D71F1">
        <w:rPr>
          <w:sz w:val="22"/>
          <w:szCs w:val="22"/>
        </w:rPr>
        <w:t>Academic</w:t>
      </w:r>
      <w:r w:rsidRPr="000D26F3">
        <w:rPr>
          <w:sz w:val="22"/>
          <w:szCs w:val="22"/>
        </w:rPr>
        <w:t xml:space="preserve"> Chair is final.</w:t>
      </w:r>
    </w:p>
    <w:p w:rsidR="000D26F3" w:rsidRPr="00F31750" w:rsidRDefault="00CA0C43" w:rsidP="00CA0C43">
      <w:pPr>
        <w:pStyle w:val="ListParagraph"/>
        <w:numPr>
          <w:ilvl w:val="0"/>
          <w:numId w:val="6"/>
        </w:numPr>
        <w:rPr>
          <w:b/>
          <w:sz w:val="22"/>
          <w:szCs w:val="22"/>
        </w:rPr>
        <w:sectPr w:rsidR="000D26F3" w:rsidRPr="00F31750" w:rsidSect="000D26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31750">
        <w:rPr>
          <w:b/>
          <w:sz w:val="22"/>
          <w:szCs w:val="22"/>
        </w:rPr>
        <w:t xml:space="preserve">Decision letters will be sent </w:t>
      </w:r>
      <w:r w:rsidR="006E2561" w:rsidRPr="00F31750">
        <w:rPr>
          <w:b/>
          <w:sz w:val="22"/>
          <w:szCs w:val="22"/>
        </w:rPr>
        <w:t xml:space="preserve">via e-mail </w:t>
      </w:r>
      <w:r w:rsidR="000D26F3" w:rsidRPr="00F31750">
        <w:rPr>
          <w:b/>
          <w:sz w:val="22"/>
          <w:szCs w:val="22"/>
        </w:rPr>
        <w:t>by March 17, 2</w:t>
      </w:r>
      <w:r w:rsidR="00210F6A" w:rsidRPr="00F31750">
        <w:rPr>
          <w:b/>
          <w:sz w:val="22"/>
          <w:szCs w:val="22"/>
        </w:rPr>
        <w:t>017.</w:t>
      </w:r>
    </w:p>
    <w:p w:rsidR="006E5FD7" w:rsidRDefault="006E5FD7" w:rsidP="00210F6A">
      <w:pPr>
        <w:rPr>
          <w:b/>
          <w:sz w:val="28"/>
          <w:szCs w:val="28"/>
        </w:rPr>
      </w:pPr>
      <w:r>
        <w:rPr>
          <w:rFonts w:eastAsia="Times New Roman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4644043</wp:posOffset>
            </wp:positionH>
            <wp:positionV relativeFrom="paragraph">
              <wp:posOffset>203457</wp:posOffset>
            </wp:positionV>
            <wp:extent cx="2223135" cy="1666875"/>
            <wp:effectExtent l="152400" t="203200" r="139065" b="212725"/>
            <wp:wrapTight wrapText="bothSides">
              <wp:wrapPolygon edited="0">
                <wp:start x="20460" y="-471"/>
                <wp:lineTo x="563" y="-5397"/>
                <wp:lineTo x="-878" y="4959"/>
                <wp:lineTo x="-1348" y="15555"/>
                <wp:lineTo x="-613" y="21093"/>
                <wp:lineTo x="-658" y="21417"/>
                <wp:lineTo x="313" y="21657"/>
                <wp:lineTo x="555" y="21717"/>
                <wp:lineTo x="1814" y="21694"/>
                <wp:lineTo x="2056" y="21754"/>
                <wp:lineTo x="21460" y="21201"/>
                <wp:lineTo x="21893" y="16287"/>
                <wp:lineTo x="21916" y="-111"/>
                <wp:lineTo x="20460" y="-4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Pic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9121"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561" w:rsidRPr="006E2561">
        <w:rPr>
          <w:b/>
          <w:sz w:val="28"/>
          <w:szCs w:val="28"/>
        </w:rPr>
        <w:t>Conference Highlights</w:t>
      </w:r>
      <w:r w:rsidR="00210F6A">
        <w:rPr>
          <w:b/>
          <w:sz w:val="28"/>
          <w:szCs w:val="28"/>
        </w:rPr>
        <w:t xml:space="preserve">  </w:t>
      </w:r>
    </w:p>
    <w:p w:rsidR="006E2561" w:rsidRPr="006E5FD7" w:rsidRDefault="00210F6A" w:rsidP="00210F6A">
      <w:r>
        <w:rPr>
          <w:b/>
          <w:sz w:val="28"/>
          <w:szCs w:val="28"/>
        </w:rPr>
        <w:t xml:space="preserve">                                         </w:t>
      </w:r>
      <w:r w:rsidR="00FB29F3">
        <w:rPr>
          <w:b/>
          <w:sz w:val="28"/>
          <w:szCs w:val="28"/>
        </w:rPr>
        <w:t xml:space="preserve">   </w:t>
      </w:r>
    </w:p>
    <w:p w:rsidR="004D2C26" w:rsidRPr="00A7679E" w:rsidRDefault="004D2C26" w:rsidP="006E5FD7">
      <w:pPr>
        <w:rPr>
          <w:b/>
        </w:rPr>
      </w:pPr>
      <w:r w:rsidRPr="00A7679E">
        <w:rPr>
          <w:b/>
        </w:rPr>
        <w:t>Awards</w:t>
      </w:r>
    </w:p>
    <w:p w:rsidR="004D2C26" w:rsidRPr="00B324EA" w:rsidRDefault="004D2C26" w:rsidP="00B324EA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 w:rsidRPr="002A2A41">
        <w:rPr>
          <w:rFonts w:eastAsia="Times New Roman" w:cs="Arial"/>
        </w:rPr>
        <w:t xml:space="preserve">Best Poster Awards sponsored by MCS Family Wealth </w:t>
      </w:r>
      <w:r w:rsidR="0019120C">
        <w:rPr>
          <w:rFonts w:eastAsia="Times New Roman" w:cs="Arial"/>
        </w:rPr>
        <w:t xml:space="preserve">               </w:t>
      </w:r>
      <w:r w:rsidRPr="00B324EA">
        <w:rPr>
          <w:rFonts w:eastAsia="Times New Roman" w:cs="Arial"/>
        </w:rPr>
        <w:t>Advisors</w:t>
      </w:r>
    </w:p>
    <w:p w:rsidR="004D2C26" w:rsidRPr="001B0B21" w:rsidRDefault="00373607" w:rsidP="00210F6A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>
        <w:rPr>
          <w:rFonts w:eastAsia="Times New Roman" w:cs="Arial"/>
        </w:rPr>
        <w:t>Best Poster</w:t>
      </w:r>
      <w:r w:rsidR="004D2C26" w:rsidRPr="001B0B21">
        <w:rPr>
          <w:rFonts w:eastAsia="Times New Roman" w:cs="Arial"/>
        </w:rPr>
        <w:t xml:space="preserve"> Awards relating to the topic of Bridging the Gap sponsored by the UNC Asheville Family Business Forum and The Biltmore Company</w:t>
      </w:r>
    </w:p>
    <w:p w:rsidR="004D2C26" w:rsidRPr="001B0B21" w:rsidRDefault="004D2C26" w:rsidP="00210F6A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 w:rsidRPr="001B0B21">
        <w:rPr>
          <w:rFonts w:eastAsia="Times New Roman" w:cs="Arial"/>
        </w:rPr>
        <w:t>FERC Lifetime Influence and Impact Award</w:t>
      </w:r>
    </w:p>
    <w:p w:rsidR="006E5FD7" w:rsidRPr="006E5FD7" w:rsidRDefault="00373607" w:rsidP="00210F6A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>
        <w:rPr>
          <w:rFonts w:eastAsia="Times New Roman" w:cs="Arial"/>
          <w:bCs/>
        </w:rPr>
        <w:t>Best Spanish Poster</w:t>
      </w:r>
      <w:r w:rsidR="004D2C26" w:rsidRPr="001B0B21">
        <w:rPr>
          <w:rFonts w:eastAsia="Times New Roman" w:cs="Arial"/>
          <w:bCs/>
        </w:rPr>
        <w:t xml:space="preserve"> Award sp</w:t>
      </w:r>
      <w:r w:rsidR="006E5FD7">
        <w:rPr>
          <w:rFonts w:eastAsia="Times New Roman" w:cs="Arial"/>
          <w:bCs/>
        </w:rPr>
        <w:t xml:space="preserve">onsored by </w:t>
      </w:r>
    </w:p>
    <w:p w:rsidR="004D2C26" w:rsidRPr="001B0B21" w:rsidRDefault="006E5FD7" w:rsidP="006E5FD7">
      <w:pPr>
        <w:pStyle w:val="ListParagraph"/>
        <w:ind w:left="360"/>
        <w:rPr>
          <w:rFonts w:eastAsia="Times New Roman" w:cs="Arial"/>
        </w:rPr>
      </w:pPr>
      <w:proofErr w:type="spellStart"/>
      <w:r>
        <w:rPr>
          <w:rFonts w:eastAsia="Times New Roman" w:cs="Arial"/>
          <w:bCs/>
        </w:rPr>
        <w:t>Familias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Empresarias</w:t>
      </w:r>
      <w:proofErr w:type="spellEnd"/>
      <w:r>
        <w:rPr>
          <w:rFonts w:eastAsia="Times New Roman" w:cs="Arial"/>
          <w:bCs/>
        </w:rPr>
        <w:t xml:space="preserve"> </w:t>
      </w:r>
      <w:r w:rsidR="004D2C26" w:rsidRPr="001B0B21">
        <w:rPr>
          <w:rFonts w:eastAsia="Times New Roman" w:cs="Arial"/>
          <w:bCs/>
        </w:rPr>
        <w:t>Management Consulting</w:t>
      </w:r>
    </w:p>
    <w:p w:rsidR="004D2C26" w:rsidRPr="004C2EED" w:rsidRDefault="004D2C26" w:rsidP="00210F6A">
      <w:pPr>
        <w:jc w:val="right"/>
        <w:rPr>
          <w:i/>
        </w:rPr>
      </w:pPr>
    </w:p>
    <w:p w:rsidR="00CA0C43" w:rsidRPr="00A7679E" w:rsidRDefault="00EB527B" w:rsidP="00CA0C43">
      <w:pPr>
        <w:rPr>
          <w:b/>
        </w:rPr>
      </w:pPr>
      <w:r w:rsidRPr="00A7679E">
        <w:rPr>
          <w:b/>
        </w:rPr>
        <w:t>Career Academy</w:t>
      </w:r>
    </w:p>
    <w:p w:rsidR="000D26F3" w:rsidRPr="004C2EED" w:rsidRDefault="006E2561" w:rsidP="000D26F3">
      <w:pPr>
        <w:rPr>
          <w:rFonts w:ascii="Calisto MT" w:hAnsi="Calisto MT"/>
          <w:b/>
          <w:sz w:val="28"/>
          <w:szCs w:val="28"/>
        </w:rPr>
      </w:pPr>
      <w:r>
        <w:rPr>
          <w:rFonts w:cs="Arial"/>
        </w:rPr>
        <w:t xml:space="preserve">The Career Academy Program </w:t>
      </w:r>
      <w:r w:rsidRPr="006E2561">
        <w:rPr>
          <w:rFonts w:cs="Arial"/>
        </w:rPr>
        <w:t>is designed to address dilemmas and questions at all levels of an academic’s life.</w:t>
      </w:r>
      <w:r>
        <w:rPr>
          <w:rFonts w:cs="Arial"/>
        </w:rPr>
        <w:t xml:space="preserve">  </w:t>
      </w:r>
      <w:r w:rsidR="00F31750">
        <w:rPr>
          <w:rFonts w:cs="Arial"/>
        </w:rPr>
        <w:t xml:space="preserve">To apply, send a C.V. and an e-mail indicating interest to Franz </w:t>
      </w:r>
      <w:proofErr w:type="spellStart"/>
      <w:r w:rsidR="00F31750">
        <w:rPr>
          <w:rFonts w:cs="Arial"/>
        </w:rPr>
        <w:t>Kellermanns</w:t>
      </w:r>
      <w:proofErr w:type="spellEnd"/>
      <w:r w:rsidR="00F31750">
        <w:rPr>
          <w:rFonts w:cs="Arial"/>
        </w:rPr>
        <w:t xml:space="preserve">, </w:t>
      </w:r>
      <w:hyperlink r:id="rId10" w:tgtFrame="_blank" w:history="1">
        <w:r w:rsidR="00F31750">
          <w:rPr>
            <w:rStyle w:val="Hyperlink"/>
            <w:color w:val="1155CC"/>
            <w:shd w:val="clear" w:color="auto" w:fill="FFFFFF"/>
          </w:rPr>
          <w:t>Kellermanns@uncc.edu</w:t>
        </w:r>
      </w:hyperlink>
      <w:r w:rsidR="00F31750">
        <w:t>. S</w:t>
      </w:r>
      <w:r w:rsidR="00F31750">
        <w:rPr>
          <w:rFonts w:cs="Arial"/>
        </w:rPr>
        <w:t xml:space="preserve">ubject line of e-mail should read </w:t>
      </w:r>
      <w:r w:rsidR="00F31750">
        <w:rPr>
          <w:rFonts w:cs="Arial"/>
          <w:i/>
        </w:rPr>
        <w:t>FERC Career Academy.</w:t>
      </w:r>
      <w:r w:rsidR="00F31750">
        <w:rPr>
          <w:rFonts w:cs="Arial"/>
        </w:rPr>
        <w:t xml:space="preserve"> </w:t>
      </w:r>
      <w:r w:rsidR="00F31750">
        <w:t xml:space="preserve"> </w:t>
      </w:r>
      <w:r>
        <w:rPr>
          <w:rFonts w:cs="Arial"/>
        </w:rPr>
        <w:t>Applications</w:t>
      </w:r>
      <w:r w:rsidRPr="004C2EED">
        <w:t xml:space="preserve"> should be submitted between December 1, 2016</w:t>
      </w:r>
      <w:r w:rsidR="00A7679E">
        <w:t>,</w:t>
      </w:r>
      <w:r w:rsidRPr="004C2EED">
        <w:t xml:space="preserve"> and February 4, 2017</w:t>
      </w:r>
      <w:r w:rsidR="00F31750">
        <w:t xml:space="preserve">.  Participants will be notified of acceptance by March 17, 2017.  Additional program information can be found </w:t>
      </w:r>
      <w:r w:rsidRPr="004C2EED">
        <w:t xml:space="preserve">the FERC 2017 website at </w:t>
      </w:r>
      <w:hyperlink r:id="rId11" w:history="1">
        <w:r w:rsidR="00D76D44" w:rsidRPr="00B324EA">
          <w:rPr>
            <w:rStyle w:val="Hyperlink"/>
          </w:rPr>
          <w:t>https://fbf.unca.edu/ferc-2017</w:t>
        </w:r>
      </w:hyperlink>
      <w:r w:rsidR="00B324EA">
        <w:t>.</w:t>
      </w:r>
    </w:p>
    <w:p w:rsidR="004D2C26" w:rsidRPr="004C2EED" w:rsidRDefault="004D2C26" w:rsidP="00CA0C43">
      <w:pPr>
        <w:rPr>
          <w:i/>
        </w:rPr>
      </w:pPr>
    </w:p>
    <w:p w:rsidR="00CA0C43" w:rsidRPr="00A7679E" w:rsidRDefault="00CA0C43" w:rsidP="00CA0C43">
      <w:pPr>
        <w:rPr>
          <w:b/>
        </w:rPr>
      </w:pPr>
      <w:r w:rsidRPr="00A7679E">
        <w:rPr>
          <w:b/>
        </w:rPr>
        <w:t>Related Journal and Special Issues</w:t>
      </w:r>
    </w:p>
    <w:p w:rsidR="001B0B21" w:rsidRPr="004C2EED" w:rsidRDefault="001B0B21" w:rsidP="001B0B21">
      <w:r w:rsidRPr="00A7679E">
        <w:t>See the FERC 2017 website for updates and information on special issues.</w:t>
      </w:r>
      <w:r w:rsidR="00A7679E" w:rsidRPr="00A7679E">
        <w:t xml:space="preserve"> </w:t>
      </w:r>
    </w:p>
    <w:p w:rsidR="00EB527B" w:rsidRPr="00A7679E" w:rsidRDefault="00EB527B" w:rsidP="00CA0C43">
      <w:pPr>
        <w:rPr>
          <w:b/>
        </w:rPr>
      </w:pPr>
    </w:p>
    <w:p w:rsidR="00CA0C43" w:rsidRPr="00A7679E" w:rsidRDefault="006E2561" w:rsidP="00CA0C43">
      <w:pPr>
        <w:rPr>
          <w:b/>
        </w:rPr>
      </w:pPr>
      <w:r w:rsidRPr="00A7679E">
        <w:rPr>
          <w:b/>
        </w:rPr>
        <w:t>Conference Activities and Events</w:t>
      </w:r>
    </w:p>
    <w:p w:rsidR="00F31750" w:rsidRPr="00F31750" w:rsidRDefault="006E2561" w:rsidP="002A2A41">
      <w:pPr>
        <w:pStyle w:val="ListParagraph"/>
        <w:numPr>
          <w:ilvl w:val="0"/>
          <w:numId w:val="12"/>
        </w:numPr>
        <w:rPr>
          <w:rFonts w:cs="Times New Roman"/>
        </w:rPr>
      </w:pPr>
      <w:r w:rsidRPr="00F31750">
        <w:rPr>
          <w:rFonts w:cs="Times New Roman"/>
        </w:rPr>
        <w:t xml:space="preserve">Keynote </w:t>
      </w:r>
      <w:r w:rsidR="005A79D3" w:rsidRPr="00F31750">
        <w:rPr>
          <w:rFonts w:cs="Times New Roman"/>
        </w:rPr>
        <w:t xml:space="preserve">address by Frank Hoy, </w:t>
      </w:r>
      <w:r w:rsidR="00F31750" w:rsidRPr="00F31750">
        <w:rPr>
          <w:rFonts w:cs="Arial"/>
          <w:color w:val="222222"/>
          <w:shd w:val="clear" w:color="auto" w:fill="FFFFFF"/>
        </w:rPr>
        <w:t xml:space="preserve">Paul R. </w:t>
      </w:r>
      <w:proofErr w:type="spellStart"/>
      <w:r w:rsidR="00F31750" w:rsidRPr="00F31750">
        <w:rPr>
          <w:rFonts w:cs="Arial"/>
          <w:color w:val="222222"/>
          <w:shd w:val="clear" w:color="auto" w:fill="FFFFFF"/>
        </w:rPr>
        <w:t>Beswick</w:t>
      </w:r>
      <w:proofErr w:type="spellEnd"/>
      <w:r w:rsidR="00F31750" w:rsidRPr="00F31750">
        <w:rPr>
          <w:rFonts w:cs="Arial"/>
          <w:color w:val="222222"/>
          <w:shd w:val="clear" w:color="auto" w:fill="FFFFFF"/>
        </w:rPr>
        <w:t xml:space="preserve"> Professor of Innovation &amp; Entrepreneurship</w:t>
      </w:r>
      <w:r w:rsidR="005A79D3" w:rsidRPr="00F31750">
        <w:rPr>
          <w:rFonts w:cs="Arial"/>
          <w:color w:val="222222"/>
          <w:shd w:val="clear" w:color="auto" w:fill="FFFFFF"/>
        </w:rPr>
        <w:t>, Worcester Polytechnic Institute</w:t>
      </w:r>
    </w:p>
    <w:p w:rsidR="004D2C26" w:rsidRPr="00F31750" w:rsidRDefault="006E2561" w:rsidP="002A2A41">
      <w:pPr>
        <w:pStyle w:val="ListParagraph"/>
        <w:numPr>
          <w:ilvl w:val="0"/>
          <w:numId w:val="12"/>
        </w:numPr>
        <w:rPr>
          <w:rFonts w:cs="Times New Roman"/>
        </w:rPr>
      </w:pPr>
      <w:r w:rsidRPr="00F31750">
        <w:rPr>
          <w:rFonts w:cs="Times New Roman"/>
        </w:rPr>
        <w:t>S</w:t>
      </w:r>
      <w:r w:rsidR="005A79D3" w:rsidRPr="00F31750">
        <w:rPr>
          <w:rFonts w:eastAsia="Times New Roman" w:cs="Arial"/>
        </w:rPr>
        <w:t>TEP Meeting</w:t>
      </w:r>
    </w:p>
    <w:p w:rsidR="004D2C26" w:rsidRPr="006E2561" w:rsidRDefault="005A79D3" w:rsidP="002A2A41">
      <w:pPr>
        <w:numPr>
          <w:ilvl w:val="0"/>
          <w:numId w:val="12"/>
        </w:numPr>
        <w:jc w:val="both"/>
        <w:rPr>
          <w:rFonts w:eastAsia="Times New Roman" w:cs="Arial"/>
        </w:rPr>
      </w:pPr>
      <w:r w:rsidRPr="005A79D3">
        <w:rPr>
          <w:rFonts w:eastAsia="Times New Roman" w:cs="Arial"/>
        </w:rPr>
        <w:t>Panel Discussion of North Carolina</w:t>
      </w:r>
      <w:r>
        <w:rPr>
          <w:rFonts w:eastAsia="Times New Roman" w:cs="Arial"/>
        </w:rPr>
        <w:t xml:space="preserve"> family businesses.  Moderated by Steve </w:t>
      </w:r>
      <w:r w:rsidRPr="006E2561">
        <w:rPr>
          <w:rFonts w:cs="Times New Roman"/>
        </w:rPr>
        <w:t>Miller, Ph.D., Family Enterprise Center, UNC Kenan-Flagler Business School</w:t>
      </w:r>
    </w:p>
    <w:p w:rsidR="004D2C26" w:rsidRPr="006E2561" w:rsidRDefault="004D2C26" w:rsidP="002A2A41">
      <w:pPr>
        <w:numPr>
          <w:ilvl w:val="0"/>
          <w:numId w:val="12"/>
        </w:numPr>
        <w:jc w:val="both"/>
        <w:rPr>
          <w:rFonts w:eastAsia="Times New Roman" w:cs="Arial"/>
        </w:rPr>
      </w:pPr>
      <w:r w:rsidRPr="006E2561">
        <w:rPr>
          <w:rFonts w:eastAsia="Times New Roman" w:cs="Arial"/>
        </w:rPr>
        <w:t xml:space="preserve">Beer tastings and family history from local breweries </w:t>
      </w:r>
    </w:p>
    <w:p w:rsidR="004D2C26" w:rsidRPr="006E2561" w:rsidRDefault="00F31750" w:rsidP="002A2A41">
      <w:pPr>
        <w:numPr>
          <w:ilvl w:val="0"/>
          <w:numId w:val="12"/>
        </w:numPr>
        <w:jc w:val="both"/>
        <w:rPr>
          <w:rFonts w:eastAsia="Times New Roman" w:cs="Arial"/>
        </w:rPr>
      </w:pPr>
      <w:r>
        <w:rPr>
          <w:rFonts w:eastAsia="Times New Roman" w:cs="Arial"/>
        </w:rPr>
        <w:t>Session with j</w:t>
      </w:r>
      <w:r w:rsidR="004D2C26" w:rsidRPr="006E2561">
        <w:rPr>
          <w:rFonts w:eastAsia="Times New Roman" w:cs="Arial"/>
        </w:rPr>
        <w:t xml:space="preserve">ournal </w:t>
      </w:r>
      <w:r>
        <w:rPr>
          <w:rFonts w:eastAsia="Times New Roman" w:cs="Arial"/>
        </w:rPr>
        <w:t>and special edition e</w:t>
      </w:r>
      <w:r w:rsidR="004D2C26" w:rsidRPr="006E2561">
        <w:rPr>
          <w:rFonts w:eastAsia="Times New Roman" w:cs="Arial"/>
        </w:rPr>
        <w:t>ditors</w:t>
      </w:r>
    </w:p>
    <w:p w:rsidR="005A79D3" w:rsidRDefault="004D2C26" w:rsidP="002A2A41">
      <w:pPr>
        <w:numPr>
          <w:ilvl w:val="0"/>
          <w:numId w:val="12"/>
        </w:numPr>
        <w:jc w:val="both"/>
        <w:rPr>
          <w:rFonts w:eastAsia="Times New Roman" w:cs="Arial"/>
        </w:rPr>
      </w:pPr>
      <w:r w:rsidRPr="005A79D3">
        <w:rPr>
          <w:rFonts w:eastAsia="Times New Roman" w:cs="Arial"/>
        </w:rPr>
        <w:t xml:space="preserve">Vanderbilt family history </w:t>
      </w:r>
      <w:r w:rsidR="006E5FD7" w:rsidRPr="005A79D3">
        <w:rPr>
          <w:rFonts w:eastAsia="Times New Roman" w:cs="Arial"/>
        </w:rPr>
        <w:t xml:space="preserve">and future of Biltmore Estate </w:t>
      </w:r>
      <w:r w:rsidRPr="005A79D3">
        <w:rPr>
          <w:rFonts w:eastAsia="Times New Roman" w:cs="Arial"/>
        </w:rPr>
        <w:t xml:space="preserve">from </w:t>
      </w:r>
      <w:r w:rsidR="00B324EA" w:rsidRPr="005A79D3">
        <w:rPr>
          <w:rFonts w:eastAsia="Times New Roman" w:cs="Arial"/>
        </w:rPr>
        <w:t>4</w:t>
      </w:r>
      <w:r w:rsidR="00B324EA" w:rsidRPr="005A79D3">
        <w:rPr>
          <w:rFonts w:eastAsia="Times New Roman" w:cs="Arial"/>
          <w:vertAlign w:val="superscript"/>
        </w:rPr>
        <w:t>th</w:t>
      </w:r>
      <w:r w:rsidR="00B324EA" w:rsidRPr="005A79D3">
        <w:rPr>
          <w:rFonts w:eastAsia="Times New Roman" w:cs="Arial"/>
        </w:rPr>
        <w:t xml:space="preserve"> and 5</w:t>
      </w:r>
      <w:r w:rsidR="00B324EA" w:rsidRPr="005A79D3">
        <w:rPr>
          <w:rFonts w:eastAsia="Times New Roman" w:cs="Arial"/>
          <w:vertAlign w:val="superscript"/>
        </w:rPr>
        <w:t>th</w:t>
      </w:r>
      <w:r w:rsidR="00B324EA" w:rsidRPr="005A79D3">
        <w:rPr>
          <w:rFonts w:eastAsia="Times New Roman" w:cs="Arial"/>
        </w:rPr>
        <w:t xml:space="preserve"> </w:t>
      </w:r>
      <w:r w:rsidRPr="005A79D3">
        <w:rPr>
          <w:rFonts w:eastAsia="Times New Roman" w:cs="Arial"/>
        </w:rPr>
        <w:t>Generation</w:t>
      </w:r>
      <w:r w:rsidR="001B0B21" w:rsidRPr="005A79D3">
        <w:rPr>
          <w:rFonts w:eastAsia="Times New Roman" w:cs="Arial"/>
        </w:rPr>
        <w:t>s</w:t>
      </w:r>
    </w:p>
    <w:p w:rsidR="004D2C26" w:rsidRPr="005A79D3" w:rsidRDefault="004D2C26" w:rsidP="002A2A41">
      <w:pPr>
        <w:numPr>
          <w:ilvl w:val="0"/>
          <w:numId w:val="12"/>
        </w:numPr>
        <w:jc w:val="both"/>
        <w:rPr>
          <w:rFonts w:eastAsia="Times New Roman" w:cs="Arial"/>
        </w:rPr>
      </w:pPr>
      <w:r w:rsidRPr="005A79D3">
        <w:rPr>
          <w:rFonts w:eastAsia="Times New Roman" w:cs="Arial"/>
        </w:rPr>
        <w:t>Tour of the Biltmore Estate</w:t>
      </w:r>
      <w:r w:rsidR="00B324EA" w:rsidRPr="005A79D3">
        <w:rPr>
          <w:rFonts w:eastAsia="Times New Roman" w:cs="Arial"/>
        </w:rPr>
        <w:t>, the largest pr</w:t>
      </w:r>
      <w:r w:rsidR="00F31750">
        <w:rPr>
          <w:rFonts w:eastAsia="Times New Roman" w:cs="Arial"/>
        </w:rPr>
        <w:t>ivate home in the United States</w:t>
      </w:r>
    </w:p>
    <w:p w:rsidR="004D2C26" w:rsidRPr="006E2561" w:rsidRDefault="004D2C26" w:rsidP="002A2A41">
      <w:pPr>
        <w:numPr>
          <w:ilvl w:val="0"/>
          <w:numId w:val="12"/>
        </w:numPr>
        <w:jc w:val="both"/>
        <w:rPr>
          <w:rFonts w:eastAsia="Times New Roman" w:cs="Arial"/>
        </w:rPr>
      </w:pPr>
      <w:r w:rsidRPr="006E2561">
        <w:rPr>
          <w:rFonts w:eastAsia="Times New Roman" w:cs="Arial"/>
        </w:rPr>
        <w:t xml:space="preserve">Awards ceremony on 100-year-old family farm followed by </w:t>
      </w:r>
      <w:r w:rsidR="001B0B21">
        <w:rPr>
          <w:rFonts w:eastAsia="Times New Roman" w:cs="Arial"/>
        </w:rPr>
        <w:t xml:space="preserve">an </w:t>
      </w:r>
      <w:r w:rsidRPr="006E2561">
        <w:rPr>
          <w:rFonts w:eastAsia="Times New Roman" w:cs="Arial"/>
        </w:rPr>
        <w:t>old</w:t>
      </w:r>
      <w:r w:rsidR="001B0B21">
        <w:rPr>
          <w:rFonts w:eastAsia="Times New Roman" w:cs="Arial"/>
        </w:rPr>
        <w:t>-</w:t>
      </w:r>
      <w:r w:rsidRPr="006E2561">
        <w:rPr>
          <w:rFonts w:eastAsia="Times New Roman" w:cs="Arial"/>
        </w:rPr>
        <w:t>fashion</w:t>
      </w:r>
      <w:r w:rsidR="00F31750">
        <w:rPr>
          <w:rFonts w:eastAsia="Times New Roman" w:cs="Arial"/>
        </w:rPr>
        <w:t>ed</w:t>
      </w:r>
      <w:r w:rsidRPr="006E2561">
        <w:rPr>
          <w:rFonts w:eastAsia="Times New Roman" w:cs="Arial"/>
        </w:rPr>
        <w:t xml:space="preserve"> square dance</w:t>
      </w:r>
    </w:p>
    <w:p w:rsidR="004D2C26" w:rsidRDefault="004D2C26" w:rsidP="006E5FD7">
      <w:pPr>
        <w:numPr>
          <w:ilvl w:val="0"/>
          <w:numId w:val="12"/>
        </w:numPr>
        <w:rPr>
          <w:rFonts w:eastAsia="Times New Roman" w:cs="Arial"/>
        </w:rPr>
      </w:pPr>
      <w:r w:rsidRPr="006E2561">
        <w:rPr>
          <w:rFonts w:eastAsia="Times New Roman" w:cs="Arial"/>
        </w:rPr>
        <w:t>Accommod</w:t>
      </w:r>
      <w:r w:rsidR="006E5FD7">
        <w:rPr>
          <w:rFonts w:eastAsia="Times New Roman" w:cs="Arial"/>
        </w:rPr>
        <w:t xml:space="preserve">ations in downtown Asheville, with easy walking to </w:t>
      </w:r>
      <w:r w:rsidRPr="006E2561">
        <w:rPr>
          <w:rFonts w:eastAsia="Times New Roman" w:cs="Arial"/>
        </w:rPr>
        <w:t>galleries, unique shops</w:t>
      </w:r>
      <w:r w:rsidR="006E5FD7">
        <w:rPr>
          <w:rFonts w:eastAsia="Times New Roman" w:cs="Arial"/>
        </w:rPr>
        <w:t xml:space="preserve">, and delicious food </w:t>
      </w:r>
    </w:p>
    <w:p w:rsidR="002A2A41" w:rsidRPr="00A7679E" w:rsidRDefault="002A2A41" w:rsidP="002A2A41">
      <w:pPr>
        <w:jc w:val="both"/>
        <w:rPr>
          <w:rFonts w:eastAsia="Times New Roman" w:cs="Arial"/>
          <w:b/>
        </w:rPr>
      </w:pPr>
    </w:p>
    <w:p w:rsidR="00CA0C43" w:rsidRPr="00A7679E" w:rsidRDefault="00CA0C43" w:rsidP="00CA0C43">
      <w:pPr>
        <w:rPr>
          <w:b/>
        </w:rPr>
      </w:pPr>
      <w:r w:rsidRPr="00A7679E">
        <w:rPr>
          <w:b/>
        </w:rPr>
        <w:t>Conference Organizing Team</w:t>
      </w:r>
    </w:p>
    <w:p w:rsidR="00F31750" w:rsidRDefault="00F31750" w:rsidP="00F31750">
      <w:pPr>
        <w:rPr>
          <w:rStyle w:val="Hyperlink"/>
        </w:rPr>
      </w:pPr>
      <w:r>
        <w:t xml:space="preserve">Dianne Welsh, Academic Chair, UNC Greensboro, </w:t>
      </w:r>
      <w:hyperlink r:id="rId12" w:history="1">
        <w:r w:rsidRPr="00EC7869">
          <w:rPr>
            <w:rStyle w:val="Hyperlink"/>
          </w:rPr>
          <w:t>dhwelsh@uncg.edu</w:t>
        </w:r>
      </w:hyperlink>
    </w:p>
    <w:p w:rsidR="00F31750" w:rsidRDefault="00F31750" w:rsidP="00F31750">
      <w:r>
        <w:rPr>
          <w:color w:val="222222"/>
          <w:shd w:val="clear" w:color="auto" w:fill="FFFFFF"/>
        </w:rPr>
        <w:t xml:space="preserve">Franz </w:t>
      </w:r>
      <w:proofErr w:type="spellStart"/>
      <w:r>
        <w:rPr>
          <w:color w:val="222222"/>
          <w:shd w:val="clear" w:color="auto" w:fill="FFFFFF"/>
        </w:rPr>
        <w:t>Kellermanns</w:t>
      </w:r>
      <w:proofErr w:type="spellEnd"/>
      <w:r>
        <w:rPr>
          <w:color w:val="222222"/>
          <w:shd w:val="clear" w:color="auto" w:fill="FFFFFF"/>
        </w:rPr>
        <w:t>, Career Academy, UNC Charlotte &amp; WHU,</w:t>
      </w:r>
      <w:r>
        <w:rPr>
          <w:rStyle w:val="apple-converted-space"/>
          <w:color w:val="222222"/>
          <w:shd w:val="clear" w:color="auto" w:fill="FFFFFF"/>
        </w:rPr>
        <w:t> </w:t>
      </w:r>
      <w:hyperlink r:id="rId13" w:tgtFrame="_blank" w:history="1">
        <w:r>
          <w:rPr>
            <w:rStyle w:val="Hyperlink"/>
            <w:color w:val="1155CC"/>
            <w:shd w:val="clear" w:color="auto" w:fill="FFFFFF"/>
          </w:rPr>
          <w:t>Kellermanns@uncc.edu</w:t>
        </w:r>
      </w:hyperlink>
    </w:p>
    <w:p w:rsidR="002A2A41" w:rsidRDefault="0071301B" w:rsidP="00CA0C43">
      <w:r>
        <w:t xml:space="preserve">Cindy Clarke, </w:t>
      </w:r>
      <w:r w:rsidR="00B324EA">
        <w:t xml:space="preserve">Conference Director/Logistics, </w:t>
      </w:r>
      <w:r>
        <w:t xml:space="preserve">UNC Asheville, </w:t>
      </w:r>
      <w:hyperlink r:id="rId14" w:history="1">
        <w:r w:rsidRPr="00EC7869">
          <w:rPr>
            <w:rStyle w:val="Hyperlink"/>
          </w:rPr>
          <w:t>cclarke@unca.edu</w:t>
        </w:r>
      </w:hyperlink>
    </w:p>
    <w:p w:rsidR="0071301B" w:rsidRDefault="0071301B" w:rsidP="00CA0C43">
      <w:r>
        <w:t xml:space="preserve">Donna Boone Parsons, </w:t>
      </w:r>
      <w:r w:rsidR="00B324EA">
        <w:t xml:space="preserve">Program Chair, </w:t>
      </w:r>
      <w:r>
        <w:t xml:space="preserve">Mars Hill University, </w:t>
      </w:r>
      <w:hyperlink r:id="rId15" w:history="1">
        <w:r w:rsidRPr="00EC7869">
          <w:rPr>
            <w:rStyle w:val="Hyperlink"/>
          </w:rPr>
          <w:t>dparsons@mhu.edu</w:t>
        </w:r>
      </w:hyperlink>
    </w:p>
    <w:p w:rsidR="00A7679E" w:rsidRDefault="00A7679E" w:rsidP="00A7679E"/>
    <w:p w:rsidR="002A2A41" w:rsidRPr="00A7679E" w:rsidRDefault="002A2A41" w:rsidP="00A7679E">
      <w:pPr>
        <w:rPr>
          <w:b/>
        </w:rPr>
      </w:pPr>
      <w:r w:rsidRPr="00A7679E">
        <w:rPr>
          <w:b/>
        </w:rPr>
        <w:t>Registration</w:t>
      </w:r>
    </w:p>
    <w:p w:rsidR="002A2A41" w:rsidRDefault="002A2A41" w:rsidP="00A7679E">
      <w:r>
        <w:t xml:space="preserve">Registration for FERC 2017 </w:t>
      </w:r>
      <w:r w:rsidR="00694134">
        <w:t>will be</w:t>
      </w:r>
      <w:r>
        <w:t xml:space="preserve"> available online at </w:t>
      </w:r>
      <w:r w:rsidR="00D76D44" w:rsidRPr="00D76D44">
        <w:t>https://fbf.unca.edu/ferc-2017</w:t>
      </w:r>
      <w:r>
        <w:t xml:space="preserve">.  </w:t>
      </w:r>
    </w:p>
    <w:p w:rsidR="002A2A41" w:rsidRPr="00B324EA" w:rsidRDefault="0071301B" w:rsidP="00A7679E">
      <w:r>
        <w:t>Early bird regis</w:t>
      </w:r>
      <w:r w:rsidR="00686883">
        <w:t xml:space="preserve">tration begins December 1, 2016 and </w:t>
      </w:r>
      <w:r w:rsidR="00686883" w:rsidRPr="00B324EA">
        <w:t>ends April 30, 2017</w:t>
      </w:r>
      <w:r w:rsidR="00B324EA">
        <w:t>.</w:t>
      </w:r>
    </w:p>
    <w:p w:rsidR="00A7679E" w:rsidRDefault="00A7679E" w:rsidP="00A7679E">
      <w:pPr>
        <w:jc w:val="right"/>
      </w:pPr>
    </w:p>
    <w:p w:rsidR="00B324EA" w:rsidRDefault="00B324EA" w:rsidP="00A7679E">
      <w:pPr>
        <w:jc w:val="right"/>
      </w:pPr>
    </w:p>
    <w:p w:rsidR="006E5FD7" w:rsidRDefault="002A2A41" w:rsidP="0072377B">
      <w:pPr>
        <w:rPr>
          <w:sz w:val="13"/>
          <w:szCs w:val="13"/>
        </w:rPr>
      </w:pPr>
      <w:r w:rsidRPr="00A7679E">
        <w:rPr>
          <w:sz w:val="22"/>
          <w:szCs w:val="22"/>
        </w:rPr>
        <w:t>Additional information about Asheville, North Carolina, travel arrangements and FERC 20</w:t>
      </w:r>
      <w:r w:rsidR="00A7679E" w:rsidRPr="00A7679E">
        <w:rPr>
          <w:sz w:val="22"/>
          <w:szCs w:val="22"/>
        </w:rPr>
        <w:t>17 may be found online at</w:t>
      </w:r>
      <w:r w:rsidR="00D76D44">
        <w:rPr>
          <w:sz w:val="22"/>
          <w:szCs w:val="22"/>
        </w:rPr>
        <w:t xml:space="preserve"> </w:t>
      </w:r>
      <w:hyperlink r:id="rId16" w:history="1">
        <w:r w:rsidR="006E5FD7" w:rsidRPr="00311797">
          <w:rPr>
            <w:rStyle w:val="Hyperlink"/>
            <w:sz w:val="22"/>
            <w:szCs w:val="22"/>
          </w:rPr>
          <w:t>https://fbf.unca.edu/ferc-2017</w:t>
        </w:r>
      </w:hyperlink>
      <w:r w:rsidRPr="00A7679E">
        <w:rPr>
          <w:sz w:val="22"/>
          <w:szCs w:val="22"/>
        </w:rPr>
        <w:t>.</w:t>
      </w:r>
      <w:r w:rsidR="006E5FD7">
        <w:rPr>
          <w:sz w:val="22"/>
          <w:szCs w:val="22"/>
        </w:rPr>
        <w:t xml:space="preserve">         </w:t>
      </w:r>
    </w:p>
    <w:p w:rsidR="006E5FD7" w:rsidRPr="006E5FD7" w:rsidRDefault="0072377B" w:rsidP="0072377B">
      <w:pPr>
        <w:jc w:val="right"/>
        <w:rPr>
          <w:sz w:val="13"/>
          <w:szCs w:val="13"/>
        </w:rPr>
      </w:pPr>
      <w:r>
        <w:rPr>
          <w:sz w:val="13"/>
          <w:szCs w:val="13"/>
        </w:rPr>
        <w:t xml:space="preserve">August, </w:t>
      </w:r>
      <w:r w:rsidR="006E5FD7" w:rsidRPr="006E5FD7">
        <w:rPr>
          <w:sz w:val="13"/>
          <w:szCs w:val="13"/>
        </w:rPr>
        <w:t>2016</w:t>
      </w:r>
    </w:p>
    <w:sectPr w:rsidR="006E5FD7" w:rsidRPr="006E5FD7" w:rsidSect="000D26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21F6"/>
    <w:multiLevelType w:val="multilevel"/>
    <w:tmpl w:val="2F0C3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3007"/>
    <w:multiLevelType w:val="hybridMultilevel"/>
    <w:tmpl w:val="842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3FF"/>
    <w:multiLevelType w:val="hybridMultilevel"/>
    <w:tmpl w:val="069C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F4DC8"/>
    <w:multiLevelType w:val="hybridMultilevel"/>
    <w:tmpl w:val="AE1E2D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D0D40"/>
    <w:multiLevelType w:val="hybridMultilevel"/>
    <w:tmpl w:val="0638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0578B"/>
    <w:multiLevelType w:val="hybridMultilevel"/>
    <w:tmpl w:val="4EEA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085B"/>
    <w:multiLevelType w:val="hybridMultilevel"/>
    <w:tmpl w:val="6CEE7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1721C"/>
    <w:multiLevelType w:val="hybridMultilevel"/>
    <w:tmpl w:val="EEC0C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F23B7"/>
    <w:multiLevelType w:val="multilevel"/>
    <w:tmpl w:val="B3F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82B1D"/>
    <w:multiLevelType w:val="hybridMultilevel"/>
    <w:tmpl w:val="67F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D5DED"/>
    <w:multiLevelType w:val="multilevel"/>
    <w:tmpl w:val="15A49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36487"/>
    <w:multiLevelType w:val="hybridMultilevel"/>
    <w:tmpl w:val="A8EC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52A5"/>
    <w:multiLevelType w:val="hybridMultilevel"/>
    <w:tmpl w:val="7986A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1555B"/>
    <w:multiLevelType w:val="hybridMultilevel"/>
    <w:tmpl w:val="8D4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F4AE2"/>
    <w:multiLevelType w:val="hybridMultilevel"/>
    <w:tmpl w:val="93C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0"/>
    <w:rsid w:val="00034C4A"/>
    <w:rsid w:val="00042476"/>
    <w:rsid w:val="000714C9"/>
    <w:rsid w:val="000D26F3"/>
    <w:rsid w:val="001023FA"/>
    <w:rsid w:val="00105328"/>
    <w:rsid w:val="00124B47"/>
    <w:rsid w:val="0019120C"/>
    <w:rsid w:val="001B0B21"/>
    <w:rsid w:val="00203D41"/>
    <w:rsid w:val="00210F6A"/>
    <w:rsid w:val="0026283F"/>
    <w:rsid w:val="0029452B"/>
    <w:rsid w:val="002A2A41"/>
    <w:rsid w:val="002C3508"/>
    <w:rsid w:val="00373607"/>
    <w:rsid w:val="003C78DA"/>
    <w:rsid w:val="003F02E0"/>
    <w:rsid w:val="00453B0D"/>
    <w:rsid w:val="004C2EED"/>
    <w:rsid w:val="004D2C26"/>
    <w:rsid w:val="004F1761"/>
    <w:rsid w:val="00534901"/>
    <w:rsid w:val="005A79D3"/>
    <w:rsid w:val="00686883"/>
    <w:rsid w:val="00694134"/>
    <w:rsid w:val="006E2561"/>
    <w:rsid w:val="006E5FD7"/>
    <w:rsid w:val="006E62FF"/>
    <w:rsid w:val="006F6210"/>
    <w:rsid w:val="0071301B"/>
    <w:rsid w:val="0072377B"/>
    <w:rsid w:val="007D71F1"/>
    <w:rsid w:val="008345C9"/>
    <w:rsid w:val="00834E5C"/>
    <w:rsid w:val="00867BF8"/>
    <w:rsid w:val="00871607"/>
    <w:rsid w:val="008E5EBD"/>
    <w:rsid w:val="009900BE"/>
    <w:rsid w:val="009A1BB4"/>
    <w:rsid w:val="009A248D"/>
    <w:rsid w:val="00A47C38"/>
    <w:rsid w:val="00A60205"/>
    <w:rsid w:val="00A7508A"/>
    <w:rsid w:val="00A7679E"/>
    <w:rsid w:val="00A77D8A"/>
    <w:rsid w:val="00B124D8"/>
    <w:rsid w:val="00B1746A"/>
    <w:rsid w:val="00B324EA"/>
    <w:rsid w:val="00B37DD4"/>
    <w:rsid w:val="00BA0B5E"/>
    <w:rsid w:val="00BA31B5"/>
    <w:rsid w:val="00C46B3B"/>
    <w:rsid w:val="00CA0C43"/>
    <w:rsid w:val="00CB1249"/>
    <w:rsid w:val="00D76D44"/>
    <w:rsid w:val="00DC11D5"/>
    <w:rsid w:val="00DC4ADE"/>
    <w:rsid w:val="00DE5E7C"/>
    <w:rsid w:val="00E67172"/>
    <w:rsid w:val="00EB527B"/>
    <w:rsid w:val="00F226BC"/>
    <w:rsid w:val="00F31750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07025-3A99-41F7-91DB-8825551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C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30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88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324EA"/>
  </w:style>
  <w:style w:type="character" w:customStyle="1" w:styleId="il">
    <w:name w:val="il"/>
    <w:basedOn w:val="DefaultParagraphFont"/>
    <w:rsid w:val="00F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6-256-8507" TargetMode="External"/><Relationship Id="rId13" Type="http://schemas.openxmlformats.org/officeDocument/2006/relationships/hyperlink" Target="mailto:Kellermanns@unc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welsh@uncg.edu" TargetMode="External"/><Relationship Id="rId12" Type="http://schemas.openxmlformats.org/officeDocument/2006/relationships/hyperlink" Target="mailto:dhwelsh@uncg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bf.unca.edu/ferc-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bf.unca.edu/ferc-2017" TargetMode="External"/><Relationship Id="rId11" Type="http://schemas.openxmlformats.org/officeDocument/2006/relationships/hyperlink" Target="https://fbf.unca.edu/ferc-2017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parsons@mhu.edu" TargetMode="External"/><Relationship Id="rId10" Type="http://schemas.openxmlformats.org/officeDocument/2006/relationships/hyperlink" Target="mailto:Kellermanns@un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clarke@un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Peake, Whitney</cp:lastModifiedBy>
  <cp:revision>2</cp:revision>
  <dcterms:created xsi:type="dcterms:W3CDTF">2016-11-14T20:38:00Z</dcterms:created>
  <dcterms:modified xsi:type="dcterms:W3CDTF">2016-11-14T20:38:00Z</dcterms:modified>
</cp:coreProperties>
</file>